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163A" w14:textId="321D7AC9" w:rsidR="00993E9B" w:rsidRDefault="00993E9B" w:rsidP="00993E9B">
      <w:pPr>
        <w:pStyle w:val="CRCoverPage"/>
        <w:tabs>
          <w:tab w:val="right" w:pos="9639"/>
        </w:tabs>
        <w:spacing w:after="0"/>
        <w:rPr>
          <w:b/>
          <w:noProof/>
          <w:sz w:val="24"/>
        </w:rPr>
      </w:pPr>
      <w:r w:rsidRPr="00FB346E">
        <w:rPr>
          <w:b/>
          <w:noProof/>
          <w:sz w:val="24"/>
        </w:rPr>
        <w:t>3GPP TSG-RAN4 Meeting #1</w:t>
      </w:r>
      <w:r>
        <w:rPr>
          <w:b/>
          <w:noProof/>
          <w:sz w:val="24"/>
        </w:rPr>
        <w:t>10-bis</w:t>
      </w:r>
      <w:r w:rsidRPr="0033027D">
        <w:rPr>
          <w:b/>
          <w:noProof/>
          <w:sz w:val="24"/>
        </w:rPr>
        <w:tab/>
      </w:r>
      <w:r w:rsidR="007B480F" w:rsidRPr="007B480F">
        <w:rPr>
          <w:b/>
          <w:noProof/>
          <w:sz w:val="24"/>
        </w:rPr>
        <w:t>R4-2405080</w:t>
      </w:r>
    </w:p>
    <w:p w14:paraId="3A8B920D" w14:textId="77777777" w:rsidR="00993E9B" w:rsidRPr="00B144E9" w:rsidRDefault="00993E9B" w:rsidP="00993E9B">
      <w:pPr>
        <w:rPr>
          <w:rFonts w:ascii="Arial" w:hAnsi="Arial" w:cs="Arial"/>
          <w:b/>
          <w:noProof/>
          <w:sz w:val="24"/>
          <w:szCs w:val="24"/>
        </w:rPr>
      </w:pPr>
      <w:r w:rsidRPr="00465D36">
        <w:rPr>
          <w:rFonts w:ascii="Arial" w:hAnsi="Arial" w:cs="Arial"/>
          <w:b/>
          <w:noProof/>
          <w:sz w:val="24"/>
          <w:szCs w:val="24"/>
        </w:rPr>
        <w:t>Changsha</w:t>
      </w:r>
      <w:r>
        <w:rPr>
          <w:rFonts w:ascii="Arial" w:hAnsi="Arial" w:cs="Arial"/>
          <w:b/>
          <w:noProof/>
          <w:sz w:val="24"/>
          <w:szCs w:val="24"/>
        </w:rPr>
        <w:t>, China</w:t>
      </w:r>
      <w:r w:rsidRPr="0084404E">
        <w:rPr>
          <w:rFonts w:ascii="Arial" w:hAnsi="Arial" w:cs="Arial"/>
          <w:b/>
          <w:noProof/>
          <w:sz w:val="24"/>
          <w:szCs w:val="24"/>
        </w:rPr>
        <w:t xml:space="preserve">, </w:t>
      </w:r>
      <w:r>
        <w:rPr>
          <w:rFonts w:ascii="Arial" w:hAnsi="Arial" w:cs="Arial"/>
          <w:b/>
          <w:noProof/>
          <w:sz w:val="24"/>
          <w:szCs w:val="24"/>
        </w:rPr>
        <w:t>26</w:t>
      </w:r>
      <w:r w:rsidRPr="0084404E">
        <w:rPr>
          <w:rFonts w:ascii="Arial" w:hAnsi="Arial" w:cs="Arial"/>
          <w:b/>
          <w:noProof/>
          <w:sz w:val="24"/>
          <w:szCs w:val="24"/>
        </w:rPr>
        <w:t xml:space="preserve">th </w:t>
      </w:r>
      <w:r>
        <w:rPr>
          <w:rFonts w:ascii="Arial" w:hAnsi="Arial" w:cs="Arial"/>
          <w:b/>
          <w:noProof/>
          <w:sz w:val="24"/>
          <w:szCs w:val="24"/>
        </w:rPr>
        <w:t>Feb</w:t>
      </w:r>
      <w:r w:rsidRPr="0084404E">
        <w:rPr>
          <w:rFonts w:ascii="Arial" w:hAnsi="Arial" w:cs="Arial"/>
          <w:b/>
          <w:noProof/>
          <w:sz w:val="24"/>
          <w:szCs w:val="24"/>
        </w:rPr>
        <w:t xml:space="preserve"> 202</w:t>
      </w:r>
      <w:r>
        <w:rPr>
          <w:rFonts w:ascii="Arial" w:hAnsi="Arial" w:cs="Arial"/>
          <w:b/>
          <w:noProof/>
          <w:sz w:val="24"/>
          <w:szCs w:val="24"/>
        </w:rPr>
        <w:t>4</w:t>
      </w:r>
      <w:r w:rsidRPr="0084404E">
        <w:rPr>
          <w:rFonts w:ascii="Arial" w:hAnsi="Arial" w:cs="Arial"/>
          <w:b/>
          <w:noProof/>
          <w:sz w:val="24"/>
          <w:szCs w:val="24"/>
        </w:rPr>
        <w:t xml:space="preserve"> </w:t>
      </w:r>
      <w:r>
        <w:rPr>
          <w:rFonts w:ascii="Arial" w:hAnsi="Arial" w:cs="Arial"/>
          <w:b/>
          <w:noProof/>
          <w:sz w:val="24"/>
          <w:szCs w:val="24"/>
        </w:rPr>
        <w:t>–</w:t>
      </w:r>
      <w:r w:rsidRPr="0084404E">
        <w:rPr>
          <w:rFonts w:ascii="Arial" w:hAnsi="Arial" w:cs="Arial"/>
          <w:b/>
          <w:noProof/>
          <w:sz w:val="24"/>
          <w:szCs w:val="24"/>
        </w:rPr>
        <w:t xml:space="preserve"> 1</w:t>
      </w:r>
      <w:r w:rsidRPr="00991E8E">
        <w:rPr>
          <w:rFonts w:ascii="Arial" w:hAnsi="Arial" w:cs="Arial"/>
          <w:b/>
          <w:noProof/>
          <w:sz w:val="24"/>
          <w:szCs w:val="24"/>
          <w:vertAlign w:val="superscript"/>
        </w:rPr>
        <w:t>st</w:t>
      </w:r>
      <w:r w:rsidRPr="0084404E">
        <w:rPr>
          <w:rFonts w:ascii="Arial" w:hAnsi="Arial" w:cs="Arial"/>
          <w:b/>
          <w:noProof/>
          <w:sz w:val="24"/>
          <w:szCs w:val="24"/>
        </w:rPr>
        <w:t xml:space="preserve"> </w:t>
      </w:r>
      <w:r>
        <w:rPr>
          <w:rFonts w:ascii="Arial" w:hAnsi="Arial" w:cs="Arial"/>
          <w:b/>
          <w:noProof/>
          <w:sz w:val="24"/>
          <w:szCs w:val="24"/>
        </w:rPr>
        <w:t>Mar</w:t>
      </w:r>
      <w:r w:rsidRPr="0084404E">
        <w:rPr>
          <w:rFonts w:ascii="Arial" w:hAnsi="Arial" w:cs="Arial"/>
          <w:b/>
          <w:noProof/>
          <w:sz w:val="24"/>
          <w:szCs w:val="24"/>
        </w:rPr>
        <w:t xml:space="preserve"> 202</w:t>
      </w:r>
      <w:r>
        <w:rPr>
          <w:rFonts w:ascii="Arial" w:hAnsi="Arial" w:cs="Arial"/>
          <w:b/>
          <w:noProof/>
          <w:sz w:val="24"/>
          <w:szCs w:val="24"/>
        </w:rPr>
        <w:t>4</w:t>
      </w:r>
      <w:r>
        <w:rPr>
          <w:rFonts w:cs="Arial"/>
          <w:b/>
          <w:sz w:val="24"/>
        </w:rPr>
        <w:br/>
      </w:r>
    </w:p>
    <w:p w14:paraId="176ED48B" w14:textId="7413ED7B" w:rsidR="00993E9B" w:rsidRPr="005E4466" w:rsidRDefault="00993E9B" w:rsidP="00993E9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Pr="00E67FB1">
        <w:rPr>
          <w:rFonts w:ascii="Arial" w:hAnsi="Arial" w:cs="Arial"/>
          <w:b/>
        </w:rPr>
        <w:t>IMT parameters for 7125 to 8400 MHz</w:t>
      </w:r>
    </w:p>
    <w:p w14:paraId="11DC877B" w14:textId="77777777" w:rsidR="00993E9B" w:rsidRPr="005E4466" w:rsidRDefault="00993E9B" w:rsidP="00993E9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544628E3" w14:textId="77777777" w:rsidR="00993E9B" w:rsidRPr="005E4466" w:rsidRDefault="00993E9B" w:rsidP="00993E9B">
      <w:pPr>
        <w:spacing w:after="60"/>
        <w:ind w:left="1985" w:hanging="1985"/>
        <w:rPr>
          <w:rFonts w:ascii="Arial" w:hAnsi="Arial" w:cs="Arial"/>
          <w:b/>
        </w:rPr>
      </w:pPr>
    </w:p>
    <w:p w14:paraId="229B76F1" w14:textId="4DCC031B" w:rsidR="00993E9B" w:rsidRDefault="00993E9B" w:rsidP="00993E9B">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37778">
        <w:rPr>
          <w:rFonts w:ascii="Arial" w:hAnsi="Arial" w:cs="Arial"/>
          <w:b/>
        </w:rPr>
        <w:t>9.3.3</w:t>
      </w:r>
    </w:p>
    <w:p w14:paraId="412EB34C" w14:textId="77777777" w:rsidR="00993E9B" w:rsidRPr="005E4466" w:rsidRDefault="00993E9B" w:rsidP="00993E9B">
      <w:pPr>
        <w:spacing w:after="60"/>
        <w:ind w:left="1985" w:hanging="1985"/>
        <w:rPr>
          <w:rFonts w:ascii="Arial" w:hAnsi="Arial" w:cs="Arial"/>
          <w:b/>
        </w:rPr>
      </w:pPr>
    </w:p>
    <w:p w14:paraId="37A149D8" w14:textId="77777777" w:rsidR="00993E9B" w:rsidRPr="005E4466" w:rsidRDefault="00993E9B" w:rsidP="00993E9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993E9B">
      <w:pPr>
        <w:spacing w:after="60"/>
        <w:ind w:left="1985" w:hanging="1985"/>
        <w:rPr>
          <w:rFonts w:ascii="Arial" w:hAnsi="Arial" w:cs="Arial"/>
          <w:bCs/>
        </w:rPr>
      </w:pPr>
    </w:p>
    <w:p w14:paraId="6796FA4B" w14:textId="77777777" w:rsidR="00993E9B" w:rsidRDefault="00993E9B" w:rsidP="00993E9B">
      <w:pPr>
        <w:pStyle w:val="Heading1"/>
      </w:pPr>
      <w:r>
        <w:t>1.</w:t>
      </w:r>
      <w:r>
        <w:tab/>
        <w:t>Introduction</w:t>
      </w:r>
    </w:p>
    <w:p w14:paraId="260CF873" w14:textId="77777777" w:rsidR="00993E9B" w:rsidRDefault="00993E9B" w:rsidP="00993E9B">
      <w:r>
        <w:t xml:space="preserve">During RAN#103 plenary a new study item </w:t>
      </w:r>
      <w:r w:rsidRPr="004A7143">
        <w:t>on IMT parameters for 4400 to 4800 MHz, 7125 to 8400 MHz and 14800 to 15350 MHz</w:t>
      </w:r>
      <w:r>
        <w:t xml:space="preserve"> was approved [1]. The following objectives are defined for the above frequency ranges:</w:t>
      </w:r>
    </w:p>
    <w:tbl>
      <w:tblPr>
        <w:tblStyle w:val="TableGrid"/>
        <w:tblW w:w="0" w:type="auto"/>
        <w:tblLook w:val="04A0" w:firstRow="1" w:lastRow="0" w:firstColumn="1" w:lastColumn="0" w:noHBand="0" w:noVBand="1"/>
      </w:tblPr>
      <w:tblGrid>
        <w:gridCol w:w="9622"/>
      </w:tblGrid>
      <w:tr w:rsidR="00993E9B" w14:paraId="0F537A32" w14:textId="77777777" w:rsidTr="00F916AC">
        <w:tc>
          <w:tcPr>
            <w:tcW w:w="9622" w:type="dxa"/>
          </w:tcPr>
          <w:p w14:paraId="5AA40827" w14:textId="77777777" w:rsidR="00993E9B" w:rsidRPr="0055126D" w:rsidRDefault="00993E9B" w:rsidP="00993E9B">
            <w:pPr>
              <w:numPr>
                <w:ilvl w:val="0"/>
                <w:numId w:val="1"/>
              </w:numPr>
              <w:overflowPunct w:val="0"/>
              <w:autoSpaceDE w:val="0"/>
              <w:autoSpaceDN w:val="0"/>
              <w:adjustRightInd w:val="0"/>
              <w:spacing w:after="0"/>
              <w:textAlignment w:val="baseline"/>
              <w:rPr>
                <w:bCs/>
              </w:rPr>
            </w:pPr>
            <w:r>
              <w:rPr>
                <w:bCs/>
              </w:rPr>
              <w:t>Study the IMT parameters relevant for sharing and compatibility for 7125 to 8400 MHz f</w:t>
            </w:r>
            <w:r w:rsidRPr="0055126D">
              <w:rPr>
                <w:bCs/>
              </w:rPr>
              <w:t>requency range.</w:t>
            </w:r>
          </w:p>
          <w:p w14:paraId="61D998BB" w14:textId="77777777" w:rsidR="00993E9B" w:rsidRDefault="00993E9B" w:rsidP="00993E9B">
            <w:pPr>
              <w:numPr>
                <w:ilvl w:val="0"/>
                <w:numId w:val="1"/>
              </w:numPr>
              <w:overflowPunct w:val="0"/>
              <w:autoSpaceDE w:val="0"/>
              <w:autoSpaceDN w:val="0"/>
              <w:adjustRightInd w:val="0"/>
              <w:spacing w:after="0"/>
              <w:textAlignment w:val="baseline"/>
              <w:rPr>
                <w:bCs/>
              </w:rPr>
            </w:pPr>
            <w:r>
              <w:rPr>
                <w:bCs/>
              </w:rPr>
              <w:t>Study the IMT parameters relevant for sharing and compatibility for 14800 to 15350 MHz f</w:t>
            </w:r>
            <w:r w:rsidRPr="0055126D">
              <w:rPr>
                <w:bCs/>
              </w:rPr>
              <w:t>requency range.</w:t>
            </w:r>
          </w:p>
          <w:p w14:paraId="73C53298" w14:textId="77777777" w:rsidR="00993E9B" w:rsidRDefault="00993E9B" w:rsidP="00F916AC">
            <w:pPr>
              <w:spacing w:after="0"/>
              <w:ind w:left="720"/>
              <w:rPr>
                <w:bCs/>
              </w:rPr>
            </w:pPr>
          </w:p>
          <w:p w14:paraId="6F32EA4D" w14:textId="77777777" w:rsidR="00993E9B" w:rsidRDefault="00993E9B" w:rsidP="00F916AC">
            <w:pPr>
              <w:pStyle w:val="NO"/>
            </w:pPr>
            <w:r>
              <w:t>NOTE:</w:t>
            </w:r>
            <w:r>
              <w:tab/>
            </w:r>
            <w:r>
              <w:rPr>
                <w:bCs/>
              </w:rPr>
              <w:t xml:space="preserve">IMT parameters relevant for sharing and compatibility for </w:t>
            </w:r>
            <w:r>
              <w:t xml:space="preserve">4400 to 4800 MHz are reused from the already available RAN4 evaluations. </w:t>
            </w:r>
          </w:p>
        </w:tc>
      </w:tr>
    </w:tbl>
    <w:p w14:paraId="6A89076E" w14:textId="77777777" w:rsidR="00937778" w:rsidRDefault="00937778" w:rsidP="00993E9B"/>
    <w:p w14:paraId="7EF3DA12" w14:textId="419ACBCB" w:rsidR="00993E9B" w:rsidRDefault="00993E9B" w:rsidP="00993E9B">
      <w:r>
        <w:t xml:space="preserve">In the following sections, we provide our views on the </w:t>
      </w:r>
      <w:r w:rsidR="0051387B">
        <w:t xml:space="preserve">RF requirements and antenna parameters of the </w:t>
      </w:r>
      <w:r w:rsidR="0051387B">
        <w:rPr>
          <w:bCs/>
        </w:rPr>
        <w:t>7125 to 8400 MHz f</w:t>
      </w:r>
      <w:r w:rsidR="0051387B" w:rsidRPr="0055126D">
        <w:rPr>
          <w:bCs/>
        </w:rPr>
        <w:t>requency range</w:t>
      </w:r>
      <w:r w:rsidR="00C447A0">
        <w:t xml:space="preserve">. </w:t>
      </w:r>
    </w:p>
    <w:p w14:paraId="392DE68E" w14:textId="4A5E361A" w:rsidR="00993E9B" w:rsidRDefault="00993E9B" w:rsidP="00993E9B">
      <w:pPr>
        <w:pStyle w:val="Heading1"/>
      </w:pPr>
      <w:r>
        <w:t>2</w:t>
      </w:r>
      <w:r w:rsidR="00C447A0">
        <w:t xml:space="preserve"> </w:t>
      </w:r>
      <w:r w:rsidR="00C447A0">
        <w:tab/>
        <w:t>Discussion</w:t>
      </w:r>
    </w:p>
    <w:p w14:paraId="2539A3FC" w14:textId="6C6AA003" w:rsidR="00791889" w:rsidRDefault="00C447A0" w:rsidP="00993E9B">
      <w:r>
        <w:t xml:space="preserve">There is no defined 3GPP band for the </w:t>
      </w:r>
      <w:r w:rsidR="00993E9B">
        <w:t xml:space="preserve"> </w:t>
      </w:r>
      <w:r>
        <w:rPr>
          <w:bCs/>
        </w:rPr>
        <w:t>7125</w:t>
      </w:r>
      <w:r w:rsidR="00B81F1B">
        <w:rPr>
          <w:bCs/>
        </w:rPr>
        <w:t xml:space="preserve"> - </w:t>
      </w:r>
      <w:r>
        <w:rPr>
          <w:bCs/>
        </w:rPr>
        <w:t>8400 MHz f</w:t>
      </w:r>
      <w:r w:rsidRPr="0055126D">
        <w:rPr>
          <w:bCs/>
        </w:rPr>
        <w:t>requency range</w:t>
      </w:r>
      <w:r>
        <w:t xml:space="preserve">, however, it is </w:t>
      </w:r>
      <w:r w:rsidR="00993E9B">
        <w:t>adjacent to existing band n104</w:t>
      </w:r>
      <w:r w:rsidR="00B81F1B">
        <w:t xml:space="preserve"> (</w:t>
      </w:r>
      <w:r w:rsidR="00B81F1B" w:rsidRPr="00B81F1B">
        <w:t xml:space="preserve">6425 </w:t>
      </w:r>
      <w:r w:rsidR="00B81F1B">
        <w:t>–</w:t>
      </w:r>
      <w:r w:rsidR="00B81F1B" w:rsidRPr="00B81F1B">
        <w:t xml:space="preserve"> 7125</w:t>
      </w:r>
      <w:r w:rsidR="00B81F1B">
        <w:t xml:space="preserve"> MHz)</w:t>
      </w:r>
      <w:r w:rsidR="00993E9B">
        <w:t xml:space="preserve">. </w:t>
      </w:r>
    </w:p>
    <w:p w14:paraId="6563B263" w14:textId="19969FF0" w:rsidR="00B25ED1" w:rsidRDefault="00B25ED1" w:rsidP="00161208">
      <w:pPr>
        <w:rPr>
          <w:b/>
          <w:bCs/>
          <w:u w:val="single"/>
          <w:lang w:eastAsia="ja-JP"/>
        </w:rPr>
      </w:pPr>
      <w:r>
        <w:rPr>
          <w:b/>
          <w:bCs/>
          <w:u w:val="single"/>
          <w:lang w:eastAsia="ja-JP"/>
        </w:rPr>
        <w:t xml:space="preserve">Duplexing </w:t>
      </w:r>
    </w:p>
    <w:p w14:paraId="2128DF42" w14:textId="3CEA5718" w:rsidR="00B25ED1" w:rsidRDefault="00A85FE3" w:rsidP="00161208">
      <w:pPr>
        <w:rPr>
          <w:lang w:eastAsia="ja-JP"/>
        </w:rPr>
      </w:pPr>
      <w:r>
        <w:rPr>
          <w:lang w:eastAsia="ja-JP"/>
        </w:rPr>
        <w:t xml:space="preserve">The existing n104 band is </w:t>
      </w:r>
      <w:r w:rsidR="00623074">
        <w:rPr>
          <w:lang w:eastAsia="ja-JP"/>
        </w:rPr>
        <w:t xml:space="preserve">TDD </w:t>
      </w:r>
      <w:r>
        <w:rPr>
          <w:lang w:eastAsia="ja-JP"/>
        </w:rPr>
        <w:t xml:space="preserve">and </w:t>
      </w:r>
      <w:r w:rsidR="00BE07F8">
        <w:rPr>
          <w:lang w:eastAsia="ja-JP"/>
        </w:rPr>
        <w:t xml:space="preserve">for 10GHz study in [2], it was </w:t>
      </w:r>
      <w:r w:rsidR="00623074">
        <w:rPr>
          <w:lang w:eastAsia="ja-JP"/>
        </w:rPr>
        <w:t xml:space="preserve">agreed that even if FDD is not precluded, it is likely that TDD will be deployed. </w:t>
      </w:r>
      <w:r w:rsidR="00BE07F8">
        <w:rPr>
          <w:lang w:eastAsia="ja-JP"/>
        </w:rPr>
        <w:t>In addition,</w:t>
      </w:r>
      <w:r w:rsidR="007F372E">
        <w:rPr>
          <w:lang w:eastAsia="ja-JP"/>
        </w:rPr>
        <w:t xml:space="preserve"> </w:t>
      </w:r>
      <w:r w:rsidR="001803A2">
        <w:rPr>
          <w:lang w:eastAsia="ja-JP"/>
        </w:rPr>
        <w:t>3GPP</w:t>
      </w:r>
      <w:r w:rsidR="007F372E">
        <w:rPr>
          <w:lang w:eastAsia="ja-JP"/>
        </w:rPr>
        <w:t xml:space="preserve"> has studied </w:t>
      </w:r>
      <w:r w:rsidR="00BE07F8">
        <w:rPr>
          <w:lang w:eastAsia="ja-JP"/>
        </w:rPr>
        <w:t xml:space="preserve">in Rel-18 </w:t>
      </w:r>
      <w:r w:rsidR="001803A2">
        <w:rPr>
          <w:lang w:eastAsia="ja-JP"/>
        </w:rPr>
        <w:t xml:space="preserve">non-overlapping subband full duplex (SBFD) and the results of the study are captured in TR 38.858. </w:t>
      </w:r>
      <w:r w:rsidR="00391215">
        <w:rPr>
          <w:lang w:eastAsia="ja-JP"/>
        </w:rPr>
        <w:t xml:space="preserve">Based on the study output, a new </w:t>
      </w:r>
      <w:r w:rsidR="00391215">
        <w:t>work</w:t>
      </w:r>
      <w:r w:rsidR="00391215" w:rsidRPr="00785E35">
        <w:t xml:space="preserve"> item </w:t>
      </w:r>
      <w:r w:rsidR="00EC7443">
        <w:rPr>
          <w:lang w:eastAsia="ja-JP"/>
        </w:rPr>
        <w:t xml:space="preserve">in [3] </w:t>
      </w:r>
      <w:r w:rsidR="00391215" w:rsidRPr="00785E35">
        <w:t xml:space="preserve">on </w:t>
      </w:r>
      <w:r w:rsidR="00391215">
        <w:t>e</w:t>
      </w:r>
      <w:r w:rsidR="00391215" w:rsidRPr="00EB0730">
        <w:t>volution of NR duplex operation</w:t>
      </w:r>
      <w:r w:rsidR="00391215">
        <w:t xml:space="preserve"> </w:t>
      </w:r>
      <w:r w:rsidR="00391215" w:rsidRPr="00E95917">
        <w:t>was approved</w:t>
      </w:r>
      <w:r w:rsidR="000644E6">
        <w:rPr>
          <w:lang w:eastAsia="ja-JP"/>
        </w:rPr>
        <w:t xml:space="preserve"> </w:t>
      </w:r>
      <w:r w:rsidR="00391215">
        <w:rPr>
          <w:lang w:eastAsia="ja-JP"/>
        </w:rPr>
        <w:t>during RAN#103</w:t>
      </w:r>
      <w:r w:rsidR="00D61AB0">
        <w:rPr>
          <w:lang w:eastAsia="ja-JP"/>
        </w:rPr>
        <w:t xml:space="preserve"> meeting.</w:t>
      </w:r>
      <w:r w:rsidR="00391215">
        <w:rPr>
          <w:lang w:eastAsia="ja-JP"/>
        </w:rPr>
        <w:t xml:space="preserve"> </w:t>
      </w:r>
      <w:r w:rsidR="00574DD0">
        <w:rPr>
          <w:lang w:eastAsia="ja-JP"/>
        </w:rPr>
        <w:t xml:space="preserve">Since this SI aims at providing parameters to WP5D to be used in sharing studies for WRC-27, it is worth noting that </w:t>
      </w:r>
      <w:r w:rsidR="003E4903">
        <w:rPr>
          <w:lang w:eastAsia="ja-JP"/>
        </w:rPr>
        <w:t xml:space="preserve">SBFD adoption in </w:t>
      </w:r>
      <w:r w:rsidR="00574DD0">
        <w:rPr>
          <w:lang w:eastAsia="ja-JP"/>
        </w:rPr>
        <w:t xml:space="preserve">such studies is </w:t>
      </w:r>
      <w:proofErr w:type="gramStart"/>
      <w:r w:rsidR="0082545C">
        <w:rPr>
          <w:lang w:eastAsia="ja-JP"/>
        </w:rPr>
        <w:t xml:space="preserve">similar </w:t>
      </w:r>
      <w:r w:rsidR="001D026F">
        <w:rPr>
          <w:lang w:eastAsia="ja-JP"/>
        </w:rPr>
        <w:t>to</w:t>
      </w:r>
      <w:proofErr w:type="gramEnd"/>
      <w:r w:rsidR="001D026F">
        <w:rPr>
          <w:lang w:eastAsia="ja-JP"/>
        </w:rPr>
        <w:t xml:space="preserve"> dynamic TDD </w:t>
      </w:r>
      <w:r w:rsidR="0082545C">
        <w:rPr>
          <w:lang w:eastAsia="ja-JP"/>
        </w:rPr>
        <w:t xml:space="preserve">scenarios from coexistence point of view. </w:t>
      </w:r>
    </w:p>
    <w:p w14:paraId="642C9F84" w14:textId="27C55C51" w:rsidR="00A727B4" w:rsidRPr="00AD7C44" w:rsidRDefault="00A727B4" w:rsidP="00161208">
      <w:pPr>
        <w:rPr>
          <w:b/>
          <w:bCs/>
          <w:lang w:eastAsia="ja-JP"/>
        </w:rPr>
      </w:pPr>
      <w:r w:rsidRPr="00F076B6">
        <w:rPr>
          <w:b/>
          <w:bCs/>
          <w:u w:val="single"/>
          <w:lang w:eastAsia="ja-JP"/>
        </w:rPr>
        <w:t>Proposal</w:t>
      </w:r>
      <w:r w:rsidR="00AD7C44" w:rsidRPr="00F076B6">
        <w:rPr>
          <w:b/>
          <w:bCs/>
          <w:u w:val="single"/>
          <w:lang w:eastAsia="ja-JP"/>
        </w:rPr>
        <w:t xml:space="preserve"> 1</w:t>
      </w:r>
      <w:r w:rsidRPr="00AD7C44">
        <w:rPr>
          <w:b/>
          <w:bCs/>
          <w:lang w:eastAsia="ja-JP"/>
        </w:rPr>
        <w:t xml:space="preserve">: </w:t>
      </w:r>
      <w:r w:rsidR="00AD7C44" w:rsidRPr="00AD7C44">
        <w:rPr>
          <w:b/>
          <w:bCs/>
        </w:rPr>
        <w:t xml:space="preserve">For </w:t>
      </w:r>
      <w:r w:rsidR="00AC7669">
        <w:rPr>
          <w:b/>
          <w:bCs/>
        </w:rPr>
        <w:t>duplexing,</w:t>
      </w:r>
      <w:r w:rsidR="00AD7C44" w:rsidRPr="00AD7C44">
        <w:rPr>
          <w:b/>
          <w:bCs/>
          <w:lang w:eastAsia="ja-JP"/>
        </w:rPr>
        <w:t xml:space="preserve"> </w:t>
      </w:r>
      <w:r w:rsidRPr="00AD7C44">
        <w:rPr>
          <w:b/>
          <w:bCs/>
          <w:lang w:eastAsia="ja-JP"/>
        </w:rPr>
        <w:t xml:space="preserve">RAN4 to assume TDD as a baseline </w:t>
      </w:r>
      <w:r w:rsidR="00AD7C44" w:rsidRPr="00AD7C44">
        <w:rPr>
          <w:b/>
          <w:bCs/>
          <w:lang w:eastAsia="ja-JP"/>
        </w:rPr>
        <w:t xml:space="preserve">further study the applicability of subband full duplex operation. </w:t>
      </w:r>
    </w:p>
    <w:p w14:paraId="48F4E0ED" w14:textId="38CE8226" w:rsidR="00D4248B" w:rsidRPr="00D4248B" w:rsidRDefault="00D4248B" w:rsidP="00161208">
      <w:pPr>
        <w:rPr>
          <w:b/>
          <w:bCs/>
          <w:u w:val="single"/>
          <w:lang w:eastAsia="ja-JP"/>
        </w:rPr>
      </w:pPr>
      <w:r w:rsidRPr="00D4248B">
        <w:rPr>
          <w:b/>
          <w:bCs/>
          <w:u w:val="single"/>
          <w:lang w:eastAsia="ja-JP"/>
        </w:rPr>
        <w:t xml:space="preserve">Channel </w:t>
      </w:r>
      <w:proofErr w:type="gramStart"/>
      <w:r w:rsidRPr="00D4248B">
        <w:rPr>
          <w:b/>
          <w:bCs/>
          <w:u w:val="single"/>
          <w:lang w:eastAsia="ja-JP"/>
        </w:rPr>
        <w:t>bandwidth</w:t>
      </w:r>
      <w:proofErr w:type="gramEnd"/>
    </w:p>
    <w:p w14:paraId="7D9EA049" w14:textId="0B55900D" w:rsidR="00D4248B" w:rsidRDefault="00F57B90" w:rsidP="00161208">
      <w:r>
        <w:t xml:space="preserve">In general, wider channel bandwidths should be enabled with increasing frequency following same approach as FR1 (3 to 100 MHz) to FR2 (50 to 400 MHz). This comes with increasing SCS and increasing RB width and availability of the spectrum. </w:t>
      </w:r>
      <w:r w:rsidR="00AE510F">
        <w:t xml:space="preserve">Channel bandwidth of </w:t>
      </w:r>
      <w:r w:rsidR="00AE510F" w:rsidRPr="00B11736">
        <w:t>100 MHz has been considered as a representative channel bandwidth</w:t>
      </w:r>
      <w:r w:rsidR="00AE510F">
        <w:t xml:space="preserve"> in TR 38.921 for 6GHz and 10GHz. </w:t>
      </w:r>
      <w:r w:rsidR="002D37EF">
        <w:t xml:space="preserve">Accordingly, it is proposed that </w:t>
      </w:r>
      <w:r w:rsidR="00B11736">
        <w:t xml:space="preserve">higher channel bandwidth (e.g., 200 MHz) should not be precluded at this stage </w:t>
      </w:r>
      <w:r w:rsidR="007855B3">
        <w:t xml:space="preserve">within RAN4. </w:t>
      </w:r>
    </w:p>
    <w:p w14:paraId="295DA252" w14:textId="74AB16CC" w:rsidR="007855B3" w:rsidRDefault="007855B3" w:rsidP="00161208">
      <w:pPr>
        <w:rPr>
          <w:b/>
          <w:bCs/>
        </w:rPr>
      </w:pPr>
      <w:r w:rsidRPr="00F076B6">
        <w:rPr>
          <w:b/>
          <w:bCs/>
          <w:u w:val="single"/>
        </w:rPr>
        <w:t xml:space="preserve">Proposal </w:t>
      </w:r>
      <w:r w:rsidR="00F076B6">
        <w:rPr>
          <w:b/>
          <w:bCs/>
          <w:u w:val="single"/>
        </w:rPr>
        <w:t>2</w:t>
      </w:r>
      <w:r w:rsidRPr="00915421">
        <w:rPr>
          <w:b/>
          <w:bCs/>
        </w:rPr>
        <w:t xml:space="preserve">: </w:t>
      </w:r>
      <w:r w:rsidR="00B75FB9">
        <w:rPr>
          <w:b/>
          <w:bCs/>
        </w:rPr>
        <w:t>RAN4 to consider 100 MHz as a baseline and investigate the feasibility of higher channel bandwidth (e.g., 200 MHz).</w:t>
      </w:r>
    </w:p>
    <w:p w14:paraId="2E50570B" w14:textId="76A47151" w:rsidR="00093094" w:rsidRPr="006F04C9" w:rsidRDefault="00093094" w:rsidP="00161208">
      <w:pPr>
        <w:rPr>
          <w:b/>
          <w:bCs/>
          <w:u w:val="single"/>
        </w:rPr>
      </w:pPr>
      <w:r w:rsidRPr="006F04C9">
        <w:rPr>
          <w:b/>
          <w:bCs/>
          <w:u w:val="single"/>
        </w:rPr>
        <w:t xml:space="preserve">Signal </w:t>
      </w:r>
      <w:proofErr w:type="gramStart"/>
      <w:r w:rsidRPr="006F04C9">
        <w:rPr>
          <w:b/>
          <w:bCs/>
          <w:u w:val="single"/>
        </w:rPr>
        <w:t>bandwidth</w:t>
      </w:r>
      <w:proofErr w:type="gramEnd"/>
    </w:p>
    <w:p w14:paraId="0C6F9D53" w14:textId="4B6DD86F" w:rsidR="00093094" w:rsidRDefault="00093094" w:rsidP="00161208">
      <w:r>
        <w:t>Generally, the signal bandwidth depends on the channel bandwidth as well as the sub-carrier spacing (SCS)</w:t>
      </w:r>
      <w:r w:rsidR="002D7004">
        <w:t xml:space="preserve">. For the targeted bandwidth, it is proposed to consider </w:t>
      </w:r>
      <w:r w:rsidR="006F04C9">
        <w:t xml:space="preserve">SCS of 30 and 60 KHz. </w:t>
      </w:r>
    </w:p>
    <w:p w14:paraId="07862EBF" w14:textId="5482C80C" w:rsidR="006955F4" w:rsidRPr="00337758" w:rsidRDefault="00F076B6" w:rsidP="00161208">
      <w:pPr>
        <w:rPr>
          <w:b/>
          <w:bCs/>
        </w:rPr>
      </w:pPr>
      <w:r w:rsidRPr="00F076B6">
        <w:rPr>
          <w:b/>
          <w:bCs/>
          <w:u w:val="single"/>
        </w:rPr>
        <w:lastRenderedPageBreak/>
        <w:t>Proposal 3</w:t>
      </w:r>
      <w:r w:rsidR="006955F4" w:rsidRPr="00915421">
        <w:rPr>
          <w:b/>
          <w:bCs/>
        </w:rPr>
        <w:t xml:space="preserve">: </w:t>
      </w:r>
      <w:r w:rsidR="0030399D">
        <w:rPr>
          <w:b/>
          <w:bCs/>
        </w:rPr>
        <w:t xml:space="preserve">As signal bandwidth depends on </w:t>
      </w:r>
      <w:r w:rsidR="000B3542">
        <w:rPr>
          <w:b/>
          <w:bCs/>
        </w:rPr>
        <w:t>CHBW and SCS, it is proposed to discuss the feasibility of SCS 30 and 60 KHz</w:t>
      </w:r>
      <w:r w:rsidR="00AC7669">
        <w:rPr>
          <w:b/>
          <w:bCs/>
        </w:rPr>
        <w:t>.</w:t>
      </w:r>
    </w:p>
    <w:p w14:paraId="2E988D4C" w14:textId="2C645212" w:rsidR="00FF6EC9" w:rsidRDefault="00FF6EC9" w:rsidP="00FF6EC9">
      <w:pPr>
        <w:pStyle w:val="Heading2"/>
      </w:pPr>
      <w:r>
        <w:t>2.1</w:t>
      </w:r>
      <w:r>
        <w:tab/>
        <w:t>BS parameters</w:t>
      </w:r>
    </w:p>
    <w:p w14:paraId="354CBEA8" w14:textId="49F652CC" w:rsidR="00F076B6" w:rsidRDefault="00741F1C" w:rsidP="00F076B6">
      <w:r>
        <w:t xml:space="preserve">As several </w:t>
      </w:r>
      <w:r w:rsidR="008B0E6C">
        <w:t xml:space="preserve">BS </w:t>
      </w:r>
      <w:r>
        <w:t xml:space="preserve">RF requirements were studied for </w:t>
      </w:r>
      <w:r w:rsidR="008B0E6C" w:rsidRPr="008B0E6C">
        <w:t>6.425-7.025</w:t>
      </w:r>
      <w:r w:rsidR="008B0E6C">
        <w:t xml:space="preserve"> </w:t>
      </w:r>
      <w:r w:rsidR="008B0E6C" w:rsidRPr="008B0E6C">
        <w:t>GHz</w:t>
      </w:r>
      <w:r w:rsidR="008B0E6C">
        <w:t xml:space="preserve"> and </w:t>
      </w:r>
      <w:r w:rsidR="008B0E6C" w:rsidRPr="008B0E6C">
        <w:t>7.025-7.125</w:t>
      </w:r>
      <w:r w:rsidR="008B0E6C">
        <w:t xml:space="preserve"> </w:t>
      </w:r>
      <w:r w:rsidR="008B0E6C" w:rsidRPr="008B0E6C">
        <w:t>GHz</w:t>
      </w:r>
      <w:r w:rsidR="008B0E6C">
        <w:t xml:space="preserve"> in [2], it is natural that some of those parameters will be reused for the</w:t>
      </w:r>
      <w:r w:rsidR="008B0E6C" w:rsidRPr="008B0E6C">
        <w:t xml:space="preserve"> 7125 - 8400 MHz frequency range</w:t>
      </w:r>
      <w:r w:rsidR="008B0E6C">
        <w:t xml:space="preserve">. </w:t>
      </w:r>
      <w:r w:rsidR="00A504B0">
        <w:t xml:space="preserve">For the power dynamic range, </w:t>
      </w:r>
      <w:r w:rsidR="00443278">
        <w:t xml:space="preserve">spectral mask (i.e., OBUE), </w:t>
      </w:r>
      <w:r w:rsidR="0067716E">
        <w:t>spurious</w:t>
      </w:r>
      <w:r w:rsidR="00443278">
        <w:t xml:space="preserve"> emission, </w:t>
      </w:r>
      <w:r w:rsidR="00276C66">
        <w:t xml:space="preserve">noise figure, and blocking response, we propose to </w:t>
      </w:r>
      <w:r w:rsidR="0067716E">
        <w:t>reuse</w:t>
      </w:r>
      <w:r w:rsidR="00276C66">
        <w:t xml:space="preserve"> the parameters specified in [2] for the </w:t>
      </w:r>
      <w:r w:rsidR="0067716E" w:rsidRPr="0067716E">
        <w:t>6425- 7125</w:t>
      </w:r>
      <w:r w:rsidR="0067716E">
        <w:t xml:space="preserve"> GHz. </w:t>
      </w:r>
      <w:r w:rsidR="00B432C1">
        <w:t xml:space="preserve">For ACLR/ACS and maximum output power, we believe that RAN4 needs to further revisit some of the assumptions </w:t>
      </w:r>
      <w:r w:rsidR="00BB0108">
        <w:t>in [2] before deciding on them</w:t>
      </w:r>
      <w:r w:rsidR="008B1506">
        <w:t xml:space="preserve"> as they depend on the BS AAS assumptions and parameters. </w:t>
      </w:r>
      <w:r w:rsidR="00A40271">
        <w:t xml:space="preserve">As it is typically done in RAN4, ACLR/ACS (and ACIR) are derived </w:t>
      </w:r>
      <w:proofErr w:type="gramStart"/>
      <w:r w:rsidR="00A40271">
        <w:t>as a result of</w:t>
      </w:r>
      <w:proofErr w:type="gramEnd"/>
      <w:r w:rsidR="00A40271">
        <w:t xml:space="preserve"> the adjacent channel coexistence study and if several AAS BS </w:t>
      </w:r>
      <w:r w:rsidR="00443AB1">
        <w:t>parameters</w:t>
      </w:r>
      <w:r w:rsidR="00A40271">
        <w:t xml:space="preserve"> will be changed, </w:t>
      </w:r>
      <w:r w:rsidR="009311F3">
        <w:t xml:space="preserve">it should be discussed whether new adjacent channel coex are needed or not. </w:t>
      </w:r>
    </w:p>
    <w:p w14:paraId="1498B145" w14:textId="556DE78A" w:rsidR="00BB0108" w:rsidRDefault="00BB0108" w:rsidP="00F076B6">
      <w:pPr>
        <w:rPr>
          <w:b/>
          <w:bCs/>
        </w:rPr>
      </w:pPr>
      <w:r w:rsidRPr="00AC7669">
        <w:rPr>
          <w:b/>
          <w:bCs/>
          <w:u w:val="single"/>
        </w:rPr>
        <w:t>Proposal 4</w:t>
      </w:r>
      <w:r w:rsidRPr="00BB0108">
        <w:rPr>
          <w:b/>
          <w:bCs/>
        </w:rPr>
        <w:t>: RAN4 to reuse the existing BS RF parameters, captured in TR 38.921 for the 6425- 7125 GHz, for the power dynamic range, spectral mask (i.e., OBUE), spurious emission, noise figure, and blocking response</w:t>
      </w:r>
      <w:r w:rsidR="00AC7669">
        <w:rPr>
          <w:b/>
          <w:bCs/>
        </w:rPr>
        <w:t>.</w:t>
      </w:r>
    </w:p>
    <w:p w14:paraId="79CB91C4" w14:textId="2418E0F7" w:rsidR="008B1506" w:rsidRDefault="008D4695" w:rsidP="00F076B6">
      <w:pPr>
        <w:rPr>
          <w:b/>
          <w:bCs/>
        </w:rPr>
      </w:pPr>
      <w:r w:rsidRPr="00AC7669">
        <w:rPr>
          <w:b/>
          <w:bCs/>
          <w:u w:val="single"/>
        </w:rPr>
        <w:t>Observation 1</w:t>
      </w:r>
      <w:r>
        <w:rPr>
          <w:b/>
          <w:bCs/>
        </w:rPr>
        <w:t xml:space="preserve">: BS AAS parameters needs to be further discussed within RAN4 prior </w:t>
      </w:r>
      <w:r w:rsidR="00257967">
        <w:rPr>
          <w:b/>
          <w:bCs/>
        </w:rPr>
        <w:t>to agreeing</w:t>
      </w:r>
      <w:r>
        <w:rPr>
          <w:b/>
          <w:bCs/>
        </w:rPr>
        <w:t xml:space="preserve"> on the</w:t>
      </w:r>
      <w:r w:rsidR="00BC0D74">
        <w:rPr>
          <w:b/>
          <w:bCs/>
        </w:rPr>
        <w:t xml:space="preserve"> BS</w:t>
      </w:r>
      <w:r>
        <w:rPr>
          <w:b/>
          <w:bCs/>
        </w:rPr>
        <w:t xml:space="preserve"> ACLR, ACS, and maximum output parameters. </w:t>
      </w:r>
    </w:p>
    <w:p w14:paraId="107C9899" w14:textId="3ADD3361" w:rsidR="00C93632" w:rsidRDefault="00D76887" w:rsidP="00C93632">
      <w:pPr>
        <w:rPr>
          <w:lang w:val="en-US"/>
        </w:rPr>
      </w:pPr>
      <w:r>
        <w:t xml:space="preserve">For the BS AAS parameters, </w:t>
      </w:r>
      <w:r w:rsidR="00860E1B">
        <w:t xml:space="preserve">the number of elements considered for the 4.4-4.8 GHz is based on </w:t>
      </w:r>
      <w:r w:rsidR="00C93632">
        <w:rPr>
          <w:lang w:val="en-US"/>
        </w:rPr>
        <w:t xml:space="preserve">TR 38.803, subclause 5.2.3.2.4, where the total number of antenna elements </w:t>
      </w:r>
      <w:r w:rsidR="00AD47F0">
        <w:rPr>
          <w:lang w:val="en-US"/>
        </w:rPr>
        <w:t xml:space="preserve">for macro suburban and macro urban </w:t>
      </w:r>
      <w:r w:rsidR="00C93632">
        <w:rPr>
          <w:lang w:val="en-US"/>
        </w:rPr>
        <w:t xml:space="preserve">is </w:t>
      </w:r>
      <w:r w:rsidR="005A68EB">
        <w:rPr>
          <w:lang w:val="en-US"/>
        </w:rPr>
        <w:t xml:space="preserve">set to be 96 elements (4x8 subarrays with 3 elements per subarray). </w:t>
      </w:r>
      <w:r w:rsidR="00B46944">
        <w:rPr>
          <w:lang w:val="en-US"/>
        </w:rPr>
        <w:t xml:space="preserve">Assuming </w:t>
      </w:r>
      <w:r w:rsidR="00847821">
        <w:rPr>
          <w:lang w:val="en-US"/>
        </w:rPr>
        <w:t>the</w:t>
      </w:r>
      <w:r w:rsidR="00B46944">
        <w:rPr>
          <w:lang w:val="en-US"/>
        </w:rPr>
        <w:t xml:space="preserve"> same coverage metrics for the </w:t>
      </w:r>
      <w:r w:rsidR="00B46944" w:rsidRPr="00B46944">
        <w:rPr>
          <w:lang w:val="en-US"/>
        </w:rPr>
        <w:t>7125 - 8400 MHz frequency range</w:t>
      </w:r>
      <w:r w:rsidR="00B46944">
        <w:rPr>
          <w:lang w:val="en-US"/>
        </w:rPr>
        <w:t xml:space="preserve"> as FR1 deployments</w:t>
      </w:r>
      <w:r w:rsidR="00845BA2">
        <w:rPr>
          <w:lang w:val="en-US"/>
        </w:rPr>
        <w:t xml:space="preserve"> apply</w:t>
      </w:r>
      <w:r w:rsidR="00B46944">
        <w:rPr>
          <w:lang w:val="en-US"/>
        </w:rPr>
        <w:t xml:space="preserve">, </w:t>
      </w:r>
      <w:r w:rsidR="00845BA2">
        <w:rPr>
          <w:lang w:val="en-US"/>
        </w:rPr>
        <w:t xml:space="preserve">it is anticipated </w:t>
      </w:r>
      <w:r w:rsidR="00EC2208">
        <w:rPr>
          <w:lang w:val="en-US"/>
        </w:rPr>
        <w:t xml:space="preserve">that the number of antenna elements scale four times with </w:t>
      </w:r>
      <w:r w:rsidR="00E31C49">
        <w:rPr>
          <w:lang w:val="en-US"/>
        </w:rPr>
        <w:t>doubling</w:t>
      </w:r>
      <w:r w:rsidR="00EC2208">
        <w:rPr>
          <w:lang w:val="en-US"/>
        </w:rPr>
        <w:t xml:space="preserve"> the frequency. </w:t>
      </w:r>
      <w:r w:rsidR="00E31C49">
        <w:rPr>
          <w:lang w:val="en-US"/>
        </w:rPr>
        <w:t xml:space="preserve">In [2], </w:t>
      </w:r>
      <w:r w:rsidR="00AD47F0">
        <w:rPr>
          <w:lang w:val="en-US"/>
        </w:rPr>
        <w:t xml:space="preserve">the number of antenna elements considered for the same deployment scenarios is </w:t>
      </w:r>
      <w:r w:rsidR="00F36C04">
        <w:rPr>
          <w:lang w:val="en-US"/>
        </w:rPr>
        <w:t xml:space="preserve">128 elements (16x8 array). </w:t>
      </w:r>
      <w:r w:rsidR="00B57C2C">
        <w:rPr>
          <w:lang w:val="en-US"/>
        </w:rPr>
        <w:t xml:space="preserve"> Accordingly, RAN4 will need to further discuss how to scale the number of elements from 4 GHz assumptions to the 8GHz to meet the coverage requirements as well as the design AAS architecture challenges. </w:t>
      </w:r>
    </w:p>
    <w:p w14:paraId="096BB620" w14:textId="3AFB8C56" w:rsidR="00D76887" w:rsidRDefault="00297A8F" w:rsidP="00F076B6">
      <w:pPr>
        <w:rPr>
          <w:b/>
          <w:bCs/>
        </w:rPr>
      </w:pPr>
      <w:r w:rsidRPr="00AC7669">
        <w:rPr>
          <w:b/>
          <w:bCs/>
          <w:u w:val="single"/>
        </w:rPr>
        <w:t>Proposal 5</w:t>
      </w:r>
      <w:r w:rsidRPr="00297A8F">
        <w:rPr>
          <w:b/>
          <w:bCs/>
        </w:rPr>
        <w:t xml:space="preserve">: RAN4 to </w:t>
      </w:r>
      <w:r>
        <w:rPr>
          <w:b/>
          <w:bCs/>
        </w:rPr>
        <w:t xml:space="preserve">study </w:t>
      </w:r>
      <w:r w:rsidRPr="00297A8F">
        <w:rPr>
          <w:b/>
          <w:bCs/>
        </w:rPr>
        <w:t xml:space="preserve">the </w:t>
      </w:r>
      <w:r w:rsidR="00BC0D74">
        <w:rPr>
          <w:b/>
          <w:bCs/>
        </w:rPr>
        <w:t xml:space="preserve">feasibility of employing larger number of antenna </w:t>
      </w:r>
      <w:r w:rsidR="00E64234">
        <w:rPr>
          <w:b/>
          <w:bCs/>
        </w:rPr>
        <w:t>elements in the BS</w:t>
      </w:r>
      <w:r w:rsidR="00BC0D74">
        <w:rPr>
          <w:b/>
          <w:bCs/>
        </w:rPr>
        <w:t xml:space="preserve"> compared to Rel-17 parameters captured in TR 38.921. </w:t>
      </w:r>
    </w:p>
    <w:p w14:paraId="55BEFF5F" w14:textId="257270F2" w:rsidR="00297A8F" w:rsidRDefault="00297A8F" w:rsidP="00F076B6">
      <w:pPr>
        <w:rPr>
          <w:lang w:val="en-US"/>
        </w:rPr>
      </w:pPr>
      <w:r>
        <w:t xml:space="preserve">Another important AAS aspect is the underlying AAS pattern model. </w:t>
      </w:r>
      <w:r w:rsidR="0066665A">
        <w:t xml:space="preserve">For </w:t>
      </w:r>
      <w:r w:rsidR="0066665A">
        <w:rPr>
          <w:lang w:val="en-US"/>
        </w:rPr>
        <w:t>1710 – 4990 MHz</w:t>
      </w:r>
      <w:r w:rsidR="0066665A">
        <w:t xml:space="preserve"> frequency range, an </w:t>
      </w:r>
      <w:r w:rsidR="0066665A">
        <w:rPr>
          <w:lang w:val="en-US"/>
        </w:rPr>
        <w:t>extended version of the AAS array antenna model is in TR 38.803, subclause 5.2.3.2.4 to support vertical sub-array geometries</w:t>
      </w:r>
      <w:r w:rsidR="0066665A" w:rsidRPr="00540DBD">
        <w:t xml:space="preserve"> </w:t>
      </w:r>
      <w:r w:rsidR="0066665A">
        <w:t xml:space="preserve">with fixed </w:t>
      </w:r>
      <w:r w:rsidR="0066665A" w:rsidRPr="00D51E6B">
        <w:t>sub-array down-tilt</w:t>
      </w:r>
      <w:r w:rsidR="0066665A">
        <w:rPr>
          <w:lang w:val="en-US"/>
        </w:rPr>
        <w:t>.</w:t>
      </w:r>
      <w:r w:rsidR="00914E18">
        <w:rPr>
          <w:lang w:val="en-US"/>
        </w:rPr>
        <w:t xml:space="preserve"> RAN4</w:t>
      </w:r>
      <w:r w:rsidR="00317293">
        <w:rPr>
          <w:lang w:val="en-US"/>
        </w:rPr>
        <w:t>. However, during Rel-17 discussions</w:t>
      </w:r>
      <w:r w:rsidR="00E96224">
        <w:rPr>
          <w:lang w:val="en-US"/>
        </w:rPr>
        <w:t xml:space="preserve"> [4]</w:t>
      </w:r>
      <w:r w:rsidR="00317293">
        <w:rPr>
          <w:lang w:val="en-US"/>
        </w:rPr>
        <w:t xml:space="preserve">, </w:t>
      </w:r>
      <w:r w:rsidR="00A03963">
        <w:rPr>
          <w:lang w:val="en-US"/>
        </w:rPr>
        <w:t xml:space="preserve">some concerns were made about the implication on the applicability of the subarray model along with the given parameters on </w:t>
      </w:r>
      <w:r w:rsidR="00E96224">
        <w:rPr>
          <w:lang w:val="en-US"/>
        </w:rPr>
        <w:t xml:space="preserve">coexisting with other incumbents. It is thus important to discuss within RAN4 whether the sub-array extended model would be applicable or the single element suffices for the </w:t>
      </w:r>
      <w:r w:rsidR="00E96224" w:rsidRPr="00E96224">
        <w:rPr>
          <w:lang w:val="en-US"/>
        </w:rPr>
        <w:t>7125 - 8400 MHz frequency range.</w:t>
      </w:r>
    </w:p>
    <w:p w14:paraId="78F28EE6" w14:textId="11D13509" w:rsidR="00E96224" w:rsidRPr="00F546F1" w:rsidRDefault="00E96224" w:rsidP="00F076B6">
      <w:pPr>
        <w:rPr>
          <w:b/>
          <w:bCs/>
        </w:rPr>
      </w:pPr>
      <w:r w:rsidRPr="00AC7669">
        <w:rPr>
          <w:b/>
          <w:bCs/>
          <w:u w:val="single"/>
        </w:rPr>
        <w:t>Proposal 6</w:t>
      </w:r>
      <w:r w:rsidRPr="00F546F1">
        <w:rPr>
          <w:b/>
          <w:bCs/>
        </w:rPr>
        <w:t xml:space="preserve">: RAN4 to discuss whether the sub-array </w:t>
      </w:r>
      <w:r w:rsidR="00FA5B43">
        <w:rPr>
          <w:b/>
          <w:bCs/>
        </w:rPr>
        <w:t xml:space="preserve">based AAS </w:t>
      </w:r>
      <w:r w:rsidRPr="00F546F1">
        <w:rPr>
          <w:b/>
          <w:bCs/>
        </w:rPr>
        <w:t xml:space="preserve">model is </w:t>
      </w:r>
      <w:r w:rsidR="00F546F1" w:rsidRPr="00F546F1">
        <w:rPr>
          <w:b/>
          <w:bCs/>
        </w:rPr>
        <w:t>applicable,</w:t>
      </w:r>
      <w:r w:rsidRPr="00F546F1">
        <w:rPr>
          <w:b/>
          <w:bCs/>
        </w:rPr>
        <w:t xml:space="preserve"> </w:t>
      </w:r>
      <w:r w:rsidR="00F546F1" w:rsidRPr="00F546F1">
        <w:rPr>
          <w:b/>
          <w:bCs/>
        </w:rPr>
        <w:t>or the single element suffices</w:t>
      </w:r>
      <w:r w:rsidR="00AC7669">
        <w:rPr>
          <w:b/>
          <w:bCs/>
        </w:rPr>
        <w:t>.</w:t>
      </w:r>
    </w:p>
    <w:p w14:paraId="0B177E00" w14:textId="1FAD41A0" w:rsidR="00FF6EC9" w:rsidRDefault="00FF6EC9" w:rsidP="00FF6EC9">
      <w:pPr>
        <w:pStyle w:val="Heading2"/>
      </w:pPr>
      <w:r>
        <w:t>2.2</w:t>
      </w:r>
      <w:r>
        <w:tab/>
        <w:t xml:space="preserve">UE parameters </w:t>
      </w:r>
    </w:p>
    <w:p w14:paraId="0ED573C2" w14:textId="3307AF3B" w:rsidR="001D538E" w:rsidRPr="003465F6" w:rsidRDefault="001D538E" w:rsidP="001D538E">
      <w:pPr>
        <w:rPr>
          <w:b/>
          <w:bCs/>
          <w:u w:val="single"/>
        </w:rPr>
      </w:pPr>
      <w:r w:rsidRPr="003465F6">
        <w:rPr>
          <w:b/>
          <w:bCs/>
          <w:u w:val="single"/>
        </w:rPr>
        <w:t>Maximum Output power</w:t>
      </w:r>
    </w:p>
    <w:p w14:paraId="6F3ADBE2" w14:textId="74B4BDE4" w:rsidR="009570AD" w:rsidRDefault="009570AD" w:rsidP="001D538E">
      <w:r>
        <w:t xml:space="preserve">PC3 was assumed during Rel-17 work on 7GHz as captured in [2]. On the other hand, 3GPP has studied </w:t>
      </w:r>
      <w:r w:rsidR="002F21B4">
        <w:t xml:space="preserve">high power UEs during Rel-17 covering </w:t>
      </w:r>
      <w:r w:rsidRPr="009570AD">
        <w:t>high-power UE (power class 1.5) operation in NR bands n77 and n78 (RP-202912), high power UE for NR TDD intra-band Carrier Aggregation in frequency range FR1 (RP-221774), and high-power UE operation for fixed-wireless/vehicle-mounted use cases in LTE bands and NR bands (RP-221795).</w:t>
      </w:r>
      <w:r w:rsidR="002F21B4">
        <w:t xml:space="preserve"> Accordingly, we propose </w:t>
      </w:r>
      <w:r w:rsidR="000B3A88">
        <w:t xml:space="preserve">for RAN4 to study the feasibility of specifying higher output power than 23 dBm. </w:t>
      </w:r>
    </w:p>
    <w:p w14:paraId="0EAB182D" w14:textId="23BBBC51" w:rsidR="000B3A88" w:rsidRDefault="000B3A88" w:rsidP="001D538E">
      <w:pPr>
        <w:rPr>
          <w:b/>
          <w:bCs/>
        </w:rPr>
      </w:pPr>
      <w:r w:rsidRPr="003465F6">
        <w:rPr>
          <w:b/>
          <w:bCs/>
          <w:u w:val="single"/>
        </w:rPr>
        <w:t xml:space="preserve">Proposal </w:t>
      </w:r>
      <w:r w:rsidR="00AC7669">
        <w:rPr>
          <w:b/>
          <w:bCs/>
          <w:u w:val="single"/>
        </w:rPr>
        <w:t>7</w:t>
      </w:r>
      <w:r w:rsidRPr="003465F6">
        <w:rPr>
          <w:b/>
          <w:bCs/>
        </w:rPr>
        <w:t xml:space="preserve">: </w:t>
      </w:r>
      <w:r w:rsidR="0035113A">
        <w:rPr>
          <w:b/>
          <w:bCs/>
        </w:rPr>
        <w:t xml:space="preserve">RAN4 to revisit the </w:t>
      </w:r>
      <w:r w:rsidR="003465F6" w:rsidRPr="003465F6">
        <w:rPr>
          <w:b/>
          <w:bCs/>
        </w:rPr>
        <w:t xml:space="preserve">UE PC3 assumption </w:t>
      </w:r>
      <w:r w:rsidR="0035113A">
        <w:rPr>
          <w:b/>
          <w:bCs/>
        </w:rPr>
        <w:t>Rel-17</w:t>
      </w:r>
      <w:r w:rsidR="003465F6" w:rsidRPr="003465F6">
        <w:rPr>
          <w:b/>
          <w:bCs/>
        </w:rPr>
        <w:t xml:space="preserve"> TR 38.921 </w:t>
      </w:r>
      <w:r w:rsidR="0035113A">
        <w:rPr>
          <w:b/>
          <w:bCs/>
        </w:rPr>
        <w:t xml:space="preserve">and investigate the feasibility of higher power classes. </w:t>
      </w:r>
    </w:p>
    <w:p w14:paraId="77B4BA24" w14:textId="7ACABEEC" w:rsidR="00990CAD" w:rsidRDefault="00990CAD" w:rsidP="001D538E">
      <w:pPr>
        <w:rPr>
          <w:b/>
          <w:bCs/>
          <w:u w:val="single"/>
        </w:rPr>
      </w:pPr>
      <w:r>
        <w:rPr>
          <w:b/>
          <w:bCs/>
          <w:u w:val="single"/>
        </w:rPr>
        <w:t xml:space="preserve">UE </w:t>
      </w:r>
      <w:r w:rsidR="00DD0F13">
        <w:rPr>
          <w:b/>
          <w:bCs/>
          <w:u w:val="single"/>
        </w:rPr>
        <w:t>beamforming</w:t>
      </w:r>
    </w:p>
    <w:p w14:paraId="024DC837" w14:textId="76AECDF3" w:rsidR="00DD0F13" w:rsidRDefault="00DD0F13" w:rsidP="001D538E">
      <w:r>
        <w:t xml:space="preserve">In [2], no UE beamforming was considered and </w:t>
      </w:r>
      <w:r w:rsidR="00F05646">
        <w:t xml:space="preserve">an isotropic antenna with 0 dBi was adopted. We believe in the 7125 – 8400 frequency range, similar </w:t>
      </w:r>
      <w:r w:rsidR="00BE6359">
        <w:t xml:space="preserve">characteristics will be adopted, and no UE beamforming is expected to be employed at the UE side. </w:t>
      </w:r>
    </w:p>
    <w:p w14:paraId="64CAA8CD" w14:textId="70F815F3" w:rsidR="008A77DF" w:rsidRPr="00AC7669" w:rsidRDefault="00BE6359" w:rsidP="001D538E">
      <w:pPr>
        <w:rPr>
          <w:b/>
          <w:bCs/>
        </w:rPr>
      </w:pPr>
      <w:r w:rsidRPr="00AC7669">
        <w:rPr>
          <w:b/>
          <w:bCs/>
          <w:u w:val="single"/>
        </w:rPr>
        <w:t xml:space="preserve">Proposal </w:t>
      </w:r>
      <w:r w:rsidR="00AC7669" w:rsidRPr="00AC7669">
        <w:rPr>
          <w:b/>
          <w:bCs/>
          <w:u w:val="single"/>
        </w:rPr>
        <w:t>8</w:t>
      </w:r>
      <w:r w:rsidRPr="00BE6359">
        <w:rPr>
          <w:b/>
          <w:bCs/>
        </w:rPr>
        <w:t xml:space="preserve">: No UE beamforming to be assumed and an isotropic antenna with 0 dBi is proposed to be adopted. </w:t>
      </w:r>
    </w:p>
    <w:p w14:paraId="1084DC21" w14:textId="5C255578" w:rsidR="008A77DF" w:rsidRDefault="008A77DF" w:rsidP="001D538E">
      <w:pPr>
        <w:rPr>
          <w:b/>
          <w:bCs/>
          <w:u w:val="single"/>
        </w:rPr>
      </w:pPr>
      <w:r w:rsidRPr="008A77DF">
        <w:rPr>
          <w:b/>
          <w:bCs/>
          <w:u w:val="single"/>
        </w:rPr>
        <w:t>Remaining parameters</w:t>
      </w:r>
    </w:p>
    <w:p w14:paraId="6049E31B" w14:textId="27C18849" w:rsidR="008A77DF" w:rsidRPr="008A77DF" w:rsidRDefault="008A77DF" w:rsidP="001D538E">
      <w:proofErr w:type="gramStart"/>
      <w:r>
        <w:lastRenderedPageBreak/>
        <w:t>Similar</w:t>
      </w:r>
      <w:r w:rsidR="00990CAD">
        <w:t xml:space="preserve"> to</w:t>
      </w:r>
      <w:proofErr w:type="gramEnd"/>
      <w:r w:rsidR="00990CAD">
        <w:t xml:space="preserve"> the BS discussion in Section 2.1, remaining UE parameters captured in [2] can be reused. </w:t>
      </w:r>
    </w:p>
    <w:p w14:paraId="547BA9DD" w14:textId="43493506" w:rsidR="008A77DF" w:rsidRPr="00AC7669" w:rsidRDefault="008A77DF" w:rsidP="001D538E">
      <w:pPr>
        <w:rPr>
          <w:b/>
          <w:bCs/>
        </w:rPr>
      </w:pPr>
      <w:r w:rsidRPr="00AC7669">
        <w:rPr>
          <w:b/>
          <w:bCs/>
          <w:u w:val="single"/>
        </w:rPr>
        <w:t xml:space="preserve">Proposal </w:t>
      </w:r>
      <w:r w:rsidR="00AC7669" w:rsidRPr="00AC7669">
        <w:rPr>
          <w:b/>
          <w:bCs/>
          <w:u w:val="single"/>
        </w:rPr>
        <w:t>9</w:t>
      </w:r>
      <w:r w:rsidRPr="00BB0108">
        <w:rPr>
          <w:b/>
          <w:bCs/>
        </w:rPr>
        <w:t>: RAN4 to reuse the existin</w:t>
      </w:r>
      <w:r>
        <w:rPr>
          <w:b/>
          <w:bCs/>
        </w:rPr>
        <w:t>g UE</w:t>
      </w:r>
      <w:r w:rsidRPr="00BB0108">
        <w:rPr>
          <w:b/>
          <w:bCs/>
        </w:rPr>
        <w:t xml:space="preserve"> RF parameters, captured in TR 38.921 for the 6425- 7125 GHz, for the spectral mask (i.e., OBUE), spurious emission, noise figure, and blocking response for the </w:t>
      </w:r>
      <w:r w:rsidRPr="00337758">
        <w:rPr>
          <w:b/>
          <w:bCs/>
        </w:rPr>
        <w:t>7125 - 8400 MHz frequency range</w:t>
      </w:r>
      <w:r>
        <w:rPr>
          <w:b/>
          <w:bCs/>
        </w:rPr>
        <w:t>.</w:t>
      </w:r>
    </w:p>
    <w:p w14:paraId="6E12F344" w14:textId="77777777" w:rsidR="00993E9B" w:rsidRDefault="00993E9B" w:rsidP="00993E9B">
      <w:pPr>
        <w:pStyle w:val="Heading1"/>
        <w:ind w:left="0" w:firstLine="0"/>
      </w:pPr>
      <w:r>
        <w:t>Conclusion</w:t>
      </w:r>
    </w:p>
    <w:p w14:paraId="680B5DC1" w14:textId="17899C89" w:rsidR="00993E9B" w:rsidRDefault="004A75F9" w:rsidP="00993E9B">
      <w:r>
        <w:t>In this paper we have shared our views on the RF parameters for 7125 – 8400 Frequency range. Our observations and proposals can be summarized for that frequency range as follows:</w:t>
      </w:r>
    </w:p>
    <w:p w14:paraId="7C589E76" w14:textId="69E43927" w:rsidR="00AC7669" w:rsidRDefault="00AC7669" w:rsidP="00AC7669">
      <w:pPr>
        <w:rPr>
          <w:b/>
          <w:bCs/>
          <w:lang w:eastAsia="ja-JP"/>
        </w:rPr>
      </w:pPr>
      <w:r w:rsidRPr="00F076B6">
        <w:rPr>
          <w:b/>
          <w:bCs/>
          <w:u w:val="single"/>
          <w:lang w:eastAsia="ja-JP"/>
        </w:rPr>
        <w:t>Proposal 1</w:t>
      </w:r>
      <w:r w:rsidRPr="00AD7C44">
        <w:rPr>
          <w:b/>
          <w:bCs/>
          <w:lang w:eastAsia="ja-JP"/>
        </w:rPr>
        <w:t xml:space="preserve">: </w:t>
      </w:r>
      <w:r w:rsidRPr="00AD7C44">
        <w:rPr>
          <w:b/>
          <w:bCs/>
        </w:rPr>
        <w:t xml:space="preserve">For </w:t>
      </w:r>
      <w:r>
        <w:rPr>
          <w:b/>
          <w:bCs/>
        </w:rPr>
        <w:t>duplexing,</w:t>
      </w:r>
      <w:r w:rsidRPr="00AD7C44">
        <w:rPr>
          <w:b/>
          <w:bCs/>
          <w:lang w:eastAsia="ja-JP"/>
        </w:rPr>
        <w:t xml:space="preserve"> RAN4 to assume TDD as a baseline further study the applicability of subband full duplex operation. </w:t>
      </w:r>
    </w:p>
    <w:p w14:paraId="5DF1E8A2" w14:textId="77777777" w:rsidR="00AC7669" w:rsidRDefault="00AC7669" w:rsidP="00AC7669">
      <w:pPr>
        <w:rPr>
          <w:b/>
          <w:bCs/>
        </w:rPr>
      </w:pPr>
      <w:r w:rsidRPr="00F076B6">
        <w:rPr>
          <w:b/>
          <w:bCs/>
          <w:u w:val="single"/>
        </w:rPr>
        <w:t xml:space="preserve">Proposal </w:t>
      </w:r>
      <w:r>
        <w:rPr>
          <w:b/>
          <w:bCs/>
          <w:u w:val="single"/>
        </w:rPr>
        <w:t>2</w:t>
      </w:r>
      <w:r w:rsidRPr="00915421">
        <w:rPr>
          <w:b/>
          <w:bCs/>
        </w:rPr>
        <w:t xml:space="preserve">: </w:t>
      </w:r>
      <w:r>
        <w:rPr>
          <w:b/>
          <w:bCs/>
        </w:rPr>
        <w:t>RAN4 to consider 100 MHz as a baseline and investigate the feasibility of higher channel bandwidth (e.g., 200 MHz).</w:t>
      </w:r>
    </w:p>
    <w:p w14:paraId="7F5E1186" w14:textId="77777777" w:rsidR="00AC7669" w:rsidRDefault="00AC7669" w:rsidP="00AC7669">
      <w:pPr>
        <w:rPr>
          <w:b/>
          <w:bCs/>
        </w:rPr>
      </w:pPr>
      <w:r w:rsidRPr="00F076B6">
        <w:rPr>
          <w:b/>
          <w:bCs/>
          <w:u w:val="single"/>
        </w:rPr>
        <w:t>Proposal 3</w:t>
      </w:r>
      <w:r w:rsidRPr="00915421">
        <w:rPr>
          <w:b/>
          <w:bCs/>
        </w:rPr>
        <w:t xml:space="preserve">: </w:t>
      </w:r>
      <w:r>
        <w:rPr>
          <w:b/>
          <w:bCs/>
        </w:rPr>
        <w:t>As signal bandwidth depends on CHBW and SCS, it is proposed to discuss the feasibility of SCS 30 and 60 KHz.</w:t>
      </w:r>
    </w:p>
    <w:p w14:paraId="335ABCA9" w14:textId="77777777" w:rsidR="00AC7669" w:rsidRDefault="00AC7669" w:rsidP="00AC7669">
      <w:pPr>
        <w:rPr>
          <w:b/>
          <w:bCs/>
        </w:rPr>
      </w:pPr>
      <w:r w:rsidRPr="00AC7669">
        <w:rPr>
          <w:b/>
          <w:bCs/>
          <w:u w:val="single"/>
        </w:rPr>
        <w:t>Proposal 4</w:t>
      </w:r>
      <w:r w:rsidRPr="00BB0108">
        <w:rPr>
          <w:b/>
          <w:bCs/>
        </w:rPr>
        <w:t>: RAN4 to reuse the existing BS RF parameters, captured in TR 38.921 for the 6425- 7125 GHz, for the power dynamic range, spectral mask (i.e., OBUE), spurious emission, noise figure, and blocking response</w:t>
      </w:r>
      <w:r>
        <w:rPr>
          <w:b/>
          <w:bCs/>
        </w:rPr>
        <w:t>.</w:t>
      </w:r>
    </w:p>
    <w:p w14:paraId="1E3D2D98" w14:textId="77777777" w:rsidR="00BC0D74" w:rsidRDefault="00BC0D74" w:rsidP="00BC0D74">
      <w:pPr>
        <w:rPr>
          <w:b/>
          <w:bCs/>
        </w:rPr>
      </w:pPr>
      <w:r w:rsidRPr="00AC7669">
        <w:rPr>
          <w:b/>
          <w:bCs/>
          <w:u w:val="single"/>
        </w:rPr>
        <w:t>Observation 1</w:t>
      </w:r>
      <w:r>
        <w:rPr>
          <w:b/>
          <w:bCs/>
        </w:rPr>
        <w:t xml:space="preserve">: BS AAS parameters needs to be further discussed within RAN4 prior to agreeing on the BS ACLR, ACS, and maximum output parameters. </w:t>
      </w:r>
    </w:p>
    <w:p w14:paraId="3EAC873F" w14:textId="77777777" w:rsidR="00E64234" w:rsidRDefault="00E64234" w:rsidP="00E64234">
      <w:pPr>
        <w:rPr>
          <w:b/>
          <w:bCs/>
        </w:rPr>
      </w:pPr>
      <w:r w:rsidRPr="00AC7669">
        <w:rPr>
          <w:b/>
          <w:bCs/>
          <w:u w:val="single"/>
        </w:rPr>
        <w:t>Proposal 5</w:t>
      </w:r>
      <w:r w:rsidRPr="00297A8F">
        <w:rPr>
          <w:b/>
          <w:bCs/>
        </w:rPr>
        <w:t xml:space="preserve">: RAN4 to </w:t>
      </w:r>
      <w:r>
        <w:rPr>
          <w:b/>
          <w:bCs/>
        </w:rPr>
        <w:t xml:space="preserve">study </w:t>
      </w:r>
      <w:r w:rsidRPr="00297A8F">
        <w:rPr>
          <w:b/>
          <w:bCs/>
        </w:rPr>
        <w:t xml:space="preserve">the </w:t>
      </w:r>
      <w:r>
        <w:rPr>
          <w:b/>
          <w:bCs/>
        </w:rPr>
        <w:t xml:space="preserve">feasibility of employing larger number of antenna elements in the BS compared to Rel-17 parameters captured in TR 38.921. </w:t>
      </w:r>
    </w:p>
    <w:p w14:paraId="66C003B8" w14:textId="77777777" w:rsidR="00FA5B43" w:rsidRPr="00F546F1" w:rsidRDefault="00FA5B43" w:rsidP="00FA5B43">
      <w:pPr>
        <w:rPr>
          <w:b/>
          <w:bCs/>
        </w:rPr>
      </w:pPr>
      <w:r w:rsidRPr="00AC7669">
        <w:rPr>
          <w:b/>
          <w:bCs/>
          <w:u w:val="single"/>
        </w:rPr>
        <w:t>Proposal 6</w:t>
      </w:r>
      <w:r w:rsidRPr="00F546F1">
        <w:rPr>
          <w:b/>
          <w:bCs/>
        </w:rPr>
        <w:t xml:space="preserve">: RAN4 to discuss whether the sub-array </w:t>
      </w:r>
      <w:r>
        <w:rPr>
          <w:b/>
          <w:bCs/>
        </w:rPr>
        <w:t xml:space="preserve">based AAS </w:t>
      </w:r>
      <w:r w:rsidRPr="00F546F1">
        <w:rPr>
          <w:b/>
          <w:bCs/>
        </w:rPr>
        <w:t>model is applicable, or the single element suffices</w:t>
      </w:r>
      <w:r>
        <w:rPr>
          <w:b/>
          <w:bCs/>
        </w:rPr>
        <w:t>.</w:t>
      </w:r>
    </w:p>
    <w:p w14:paraId="4B08EF20" w14:textId="77777777" w:rsidR="0035113A" w:rsidRDefault="0035113A" w:rsidP="0035113A">
      <w:pPr>
        <w:rPr>
          <w:b/>
          <w:bCs/>
        </w:rPr>
      </w:pPr>
      <w:r w:rsidRPr="003465F6">
        <w:rPr>
          <w:b/>
          <w:bCs/>
          <w:u w:val="single"/>
        </w:rPr>
        <w:t xml:space="preserve">Proposal </w:t>
      </w:r>
      <w:r>
        <w:rPr>
          <w:b/>
          <w:bCs/>
          <w:u w:val="single"/>
        </w:rPr>
        <w:t>7</w:t>
      </w:r>
      <w:r w:rsidRPr="003465F6">
        <w:rPr>
          <w:b/>
          <w:bCs/>
        </w:rPr>
        <w:t xml:space="preserve">: </w:t>
      </w:r>
      <w:r>
        <w:rPr>
          <w:b/>
          <w:bCs/>
        </w:rPr>
        <w:t xml:space="preserve">RAN4 to revisit the </w:t>
      </w:r>
      <w:r w:rsidRPr="003465F6">
        <w:rPr>
          <w:b/>
          <w:bCs/>
        </w:rPr>
        <w:t xml:space="preserve">UE PC3 assumption </w:t>
      </w:r>
      <w:r>
        <w:rPr>
          <w:b/>
          <w:bCs/>
        </w:rPr>
        <w:t>Rel-17</w:t>
      </w:r>
      <w:r w:rsidRPr="003465F6">
        <w:rPr>
          <w:b/>
          <w:bCs/>
        </w:rPr>
        <w:t xml:space="preserve"> TR 38.921 </w:t>
      </w:r>
      <w:r>
        <w:rPr>
          <w:b/>
          <w:bCs/>
        </w:rPr>
        <w:t xml:space="preserve">and investigate the feasibility of higher power classes. </w:t>
      </w:r>
    </w:p>
    <w:p w14:paraId="519B95B0" w14:textId="41A11078" w:rsidR="00AC7669" w:rsidRPr="00AC7669" w:rsidRDefault="0035113A" w:rsidP="00AC7669">
      <w:pPr>
        <w:rPr>
          <w:b/>
          <w:bCs/>
        </w:rPr>
      </w:pPr>
      <w:r w:rsidRPr="00AC7669">
        <w:rPr>
          <w:b/>
          <w:bCs/>
          <w:u w:val="single"/>
        </w:rPr>
        <w:t>Proposal 8</w:t>
      </w:r>
      <w:r w:rsidRPr="00BE6359">
        <w:rPr>
          <w:b/>
          <w:bCs/>
        </w:rPr>
        <w:t xml:space="preserve">: No UE beamforming to be assumed and an isotropic antenna with 0 dBi is proposed to be adopted. </w:t>
      </w:r>
      <w:r w:rsidR="00AC7669" w:rsidRPr="00BE6359">
        <w:rPr>
          <w:b/>
          <w:bCs/>
        </w:rPr>
        <w:t xml:space="preserve"> </w:t>
      </w:r>
    </w:p>
    <w:p w14:paraId="51F2A1E5" w14:textId="5B682ACF" w:rsidR="004A75F9" w:rsidRPr="00AC7669" w:rsidRDefault="00AC7669" w:rsidP="00993E9B">
      <w:pPr>
        <w:rPr>
          <w:b/>
          <w:bCs/>
        </w:rPr>
      </w:pPr>
      <w:r w:rsidRPr="00AC7669">
        <w:rPr>
          <w:b/>
          <w:bCs/>
          <w:u w:val="single"/>
        </w:rPr>
        <w:t>Proposal 9</w:t>
      </w:r>
      <w:r w:rsidRPr="00BB0108">
        <w:rPr>
          <w:b/>
          <w:bCs/>
        </w:rPr>
        <w:t>: RAN4 to reuse the existin</w:t>
      </w:r>
      <w:r>
        <w:rPr>
          <w:b/>
          <w:bCs/>
        </w:rPr>
        <w:t>g UE</w:t>
      </w:r>
      <w:r w:rsidRPr="00BB0108">
        <w:rPr>
          <w:b/>
          <w:bCs/>
        </w:rPr>
        <w:t xml:space="preserve"> RF parameters, captured in TR 38.921 for the 6425- 7125 GHz, for the spectral mask (i.e., OBUE), spurious emission, noise figure, and blocking response for the </w:t>
      </w:r>
      <w:r w:rsidRPr="00337758">
        <w:rPr>
          <w:b/>
          <w:bCs/>
        </w:rPr>
        <w:t>7125 - 8400 MHz frequency range</w:t>
      </w:r>
      <w:r>
        <w:rPr>
          <w:b/>
          <w:bCs/>
        </w:rPr>
        <w:t>.</w:t>
      </w:r>
    </w:p>
    <w:p w14:paraId="17189E3E" w14:textId="77777777" w:rsidR="00993E9B" w:rsidRDefault="00993E9B" w:rsidP="00993E9B">
      <w:pPr>
        <w:pStyle w:val="Heading1"/>
        <w:ind w:left="0" w:firstLine="0"/>
      </w:pPr>
      <w:r>
        <w:t>Reference</w:t>
      </w:r>
    </w:p>
    <w:p w14:paraId="267B5DEF" w14:textId="77777777" w:rsidR="00993E9B" w:rsidRDefault="00993E9B" w:rsidP="00993E9B">
      <w:pPr>
        <w:pStyle w:val="B1"/>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68C80CD7" w14:textId="77777777" w:rsidR="008314CA" w:rsidRDefault="00993E9B" w:rsidP="008314CA">
      <w:pPr>
        <w:pStyle w:val="B1"/>
      </w:pPr>
      <w:r>
        <w:t xml:space="preserve">[2] </w:t>
      </w:r>
      <w:r>
        <w:tab/>
      </w:r>
      <w:r w:rsidR="008314CA">
        <w:t>TR 38.921, “</w:t>
      </w:r>
      <w:r w:rsidR="008314CA" w:rsidRPr="00D04D6E">
        <w:t>Study on International Mobile Telecommunications (IMT) parameters for 6.425 - 7.025 GHz, 7.025 - 7.125 GHz and 10.0 - 10.5 GHz</w:t>
      </w:r>
      <w:r w:rsidR="008314CA">
        <w:t>”, 3GPP V17.1.0.</w:t>
      </w:r>
    </w:p>
    <w:p w14:paraId="64431F49" w14:textId="52BA6509" w:rsidR="00993E9B" w:rsidRDefault="00993E9B" w:rsidP="0082764C">
      <w:pPr>
        <w:pStyle w:val="References"/>
        <w:numPr>
          <w:ilvl w:val="0"/>
          <w:numId w:val="0"/>
        </w:numPr>
        <w:autoSpaceDE/>
        <w:autoSpaceDN/>
        <w:snapToGrid/>
        <w:spacing w:after="80" w:line="256" w:lineRule="auto"/>
        <w:ind w:left="360" w:hanging="76"/>
        <w:rPr>
          <w:szCs w:val="20"/>
          <w:lang w:val="en-GB"/>
        </w:rPr>
      </w:pPr>
      <w:r>
        <w:t>[3]</w:t>
      </w:r>
      <w:bookmarkStart w:id="0" w:name="_Ref47616084"/>
      <w:bookmarkStart w:id="1" w:name="_Ref32439522"/>
      <w:r w:rsidR="0082764C">
        <w:t xml:space="preserve"> </w:t>
      </w:r>
      <w:r w:rsidR="0082764C" w:rsidRPr="00753211">
        <w:rPr>
          <w:szCs w:val="20"/>
          <w:lang w:val="en-GB"/>
        </w:rPr>
        <w:t>RP-240789</w:t>
      </w:r>
      <w:r w:rsidR="006B506A">
        <w:rPr>
          <w:szCs w:val="20"/>
          <w:lang w:val="en-GB"/>
        </w:rPr>
        <w:t>,</w:t>
      </w:r>
      <w:r w:rsidR="0082764C" w:rsidRPr="005C32DA">
        <w:rPr>
          <w:szCs w:val="20"/>
          <w:lang w:val="en-GB"/>
        </w:rPr>
        <w:t xml:space="preserve"> </w:t>
      </w:r>
      <w:r w:rsidR="0082764C" w:rsidRPr="00785E35">
        <w:rPr>
          <w:szCs w:val="20"/>
          <w:lang w:val="en-GB"/>
        </w:rPr>
        <w:t>“</w:t>
      </w:r>
      <w:r w:rsidR="0082764C">
        <w:rPr>
          <w:szCs w:val="20"/>
          <w:lang w:val="en-GB"/>
        </w:rPr>
        <w:t>Revised</w:t>
      </w:r>
      <w:r w:rsidR="0082764C" w:rsidRPr="005945B3">
        <w:rPr>
          <w:szCs w:val="20"/>
          <w:lang w:val="en-GB"/>
        </w:rPr>
        <w:t xml:space="preserve"> WID: Evolution of NR duplex operation: Sub-band full duplex (SBFD)</w:t>
      </w:r>
      <w:r w:rsidR="0082764C" w:rsidRPr="00785E35">
        <w:rPr>
          <w:szCs w:val="20"/>
          <w:lang w:val="en-GB"/>
        </w:rPr>
        <w:t xml:space="preserve">”, </w:t>
      </w:r>
      <w:r w:rsidR="0082764C">
        <w:rPr>
          <w:szCs w:val="20"/>
          <w:lang w:val="en-GB"/>
        </w:rPr>
        <w:t xml:space="preserve">Huawei, </w:t>
      </w:r>
      <w:proofErr w:type="gramStart"/>
      <w:r w:rsidR="0082764C">
        <w:rPr>
          <w:szCs w:val="20"/>
          <w:lang w:val="en-GB"/>
        </w:rPr>
        <w:t>HiSilicon</w:t>
      </w:r>
      <w:r w:rsidR="0082764C" w:rsidRPr="00785E35">
        <w:rPr>
          <w:szCs w:val="20"/>
          <w:lang w:val="en-GB"/>
        </w:rPr>
        <w:t xml:space="preserve">, </w:t>
      </w:r>
      <w:r w:rsidR="00C64875">
        <w:rPr>
          <w:szCs w:val="20"/>
          <w:lang w:val="en-GB"/>
        </w:rPr>
        <w:t xml:space="preserve">  </w:t>
      </w:r>
      <w:proofErr w:type="gramEnd"/>
      <w:r w:rsidR="0082764C" w:rsidRPr="003E1C6B">
        <w:rPr>
          <w:szCs w:val="20"/>
          <w:lang w:val="en-GB"/>
        </w:rPr>
        <w:t>3GPP TSG RAN#</w:t>
      </w:r>
      <w:r w:rsidR="0082764C">
        <w:rPr>
          <w:szCs w:val="20"/>
          <w:lang w:val="en-GB"/>
        </w:rPr>
        <w:t>103</w:t>
      </w:r>
      <w:r w:rsidR="0082764C" w:rsidRPr="00785E35">
        <w:rPr>
          <w:szCs w:val="20"/>
          <w:lang w:val="en-GB"/>
        </w:rPr>
        <w:t>.</w:t>
      </w:r>
      <w:bookmarkEnd w:id="0"/>
      <w:bookmarkEnd w:id="1"/>
    </w:p>
    <w:p w14:paraId="501E226B" w14:textId="4AE8F0E3" w:rsidR="006B506A" w:rsidRPr="0082764C" w:rsidRDefault="006B506A" w:rsidP="0082764C">
      <w:pPr>
        <w:pStyle w:val="References"/>
        <w:numPr>
          <w:ilvl w:val="0"/>
          <w:numId w:val="0"/>
        </w:numPr>
        <w:autoSpaceDE/>
        <w:autoSpaceDN/>
        <w:snapToGrid/>
        <w:spacing w:after="80" w:line="256" w:lineRule="auto"/>
        <w:ind w:left="360" w:hanging="76"/>
        <w:rPr>
          <w:szCs w:val="20"/>
          <w:lang w:val="en-GB"/>
        </w:rPr>
      </w:pPr>
      <w:r>
        <w:rPr>
          <w:szCs w:val="20"/>
          <w:lang w:val="en-GB"/>
        </w:rPr>
        <w:t xml:space="preserve">[4] </w:t>
      </w:r>
      <w:r w:rsidRPr="006B506A">
        <w:rPr>
          <w:szCs w:val="20"/>
          <w:lang w:val="en-GB"/>
        </w:rPr>
        <w:t>R4-2113039</w:t>
      </w:r>
      <w:r>
        <w:rPr>
          <w:szCs w:val="20"/>
          <w:lang w:val="en-GB"/>
        </w:rPr>
        <w:t>, “</w:t>
      </w:r>
      <w:r w:rsidR="009A5414">
        <w:rPr>
          <w:szCs w:val="20"/>
          <w:lang w:val="en-GB"/>
        </w:rPr>
        <w:t xml:space="preserve">AAS antenna model”, </w:t>
      </w:r>
      <w:r w:rsidR="00CE63B2">
        <w:rPr>
          <w:szCs w:val="20"/>
          <w:lang w:val="en-GB"/>
        </w:rPr>
        <w:t xml:space="preserve">Huawei, HiSilicon, </w:t>
      </w:r>
      <w:r w:rsidR="00305B4F">
        <w:rPr>
          <w:szCs w:val="20"/>
          <w:lang w:val="en-GB"/>
        </w:rPr>
        <w:t>3GPP RAN4#</w:t>
      </w:r>
      <w:r w:rsidR="00AB1AA7">
        <w:rPr>
          <w:szCs w:val="20"/>
          <w:lang w:val="en-GB"/>
        </w:rPr>
        <w:t xml:space="preserve">100-e. </w:t>
      </w:r>
    </w:p>
    <w:p w14:paraId="2AAC5D96" w14:textId="77777777" w:rsidR="00993E9B" w:rsidRDefault="00993E9B" w:rsidP="00993E9B">
      <w:pPr>
        <w:pStyle w:val="B1"/>
      </w:pPr>
    </w:p>
    <w:p w14:paraId="318EFFBC" w14:textId="77777777" w:rsidR="00993E9B" w:rsidRDefault="00993E9B" w:rsidP="00993E9B">
      <w:pPr>
        <w:pStyle w:val="B1"/>
        <w:ind w:left="0" w:firstLine="0"/>
      </w:pPr>
    </w:p>
    <w:p w14:paraId="5467FF78" w14:textId="77777777" w:rsidR="00993E9B" w:rsidRDefault="00993E9B"/>
    <w:sectPr w:rsidR="00993E9B" w:rsidSect="00C2136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0165617">
    <w:abstractNumId w:val="4"/>
  </w:num>
  <w:num w:numId="2" w16cid:durableId="1621305404">
    <w:abstractNumId w:val="1"/>
  </w:num>
  <w:num w:numId="3" w16cid:durableId="225802869">
    <w:abstractNumId w:val="2"/>
  </w:num>
  <w:num w:numId="4" w16cid:durableId="276178333">
    <w:abstractNumId w:val="0"/>
  </w:num>
  <w:num w:numId="5" w16cid:durableId="1935287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443F3"/>
    <w:rsid w:val="00045BA0"/>
    <w:rsid w:val="00057089"/>
    <w:rsid w:val="000644E6"/>
    <w:rsid w:val="00065D07"/>
    <w:rsid w:val="00093094"/>
    <w:rsid w:val="000B3542"/>
    <w:rsid w:val="000B3A88"/>
    <w:rsid w:val="000E7DF4"/>
    <w:rsid w:val="001163DF"/>
    <w:rsid w:val="001319A1"/>
    <w:rsid w:val="001369FC"/>
    <w:rsid w:val="0014457D"/>
    <w:rsid w:val="00161208"/>
    <w:rsid w:val="001803A2"/>
    <w:rsid w:val="001C1E73"/>
    <w:rsid w:val="001D026F"/>
    <w:rsid w:val="001D27C1"/>
    <w:rsid w:val="001D538E"/>
    <w:rsid w:val="00227F48"/>
    <w:rsid w:val="00257967"/>
    <w:rsid w:val="00276C66"/>
    <w:rsid w:val="00297A8F"/>
    <w:rsid w:val="002A1AFD"/>
    <w:rsid w:val="002D37EF"/>
    <w:rsid w:val="002D7004"/>
    <w:rsid w:val="002E0D2A"/>
    <w:rsid w:val="002F21B4"/>
    <w:rsid w:val="002F5DAE"/>
    <w:rsid w:val="0030399D"/>
    <w:rsid w:val="00305B4F"/>
    <w:rsid w:val="00317293"/>
    <w:rsid w:val="00337758"/>
    <w:rsid w:val="003465F6"/>
    <w:rsid w:val="0035113A"/>
    <w:rsid w:val="00391215"/>
    <w:rsid w:val="003936F9"/>
    <w:rsid w:val="003E4903"/>
    <w:rsid w:val="00406761"/>
    <w:rsid w:val="00424A73"/>
    <w:rsid w:val="0043357D"/>
    <w:rsid w:val="00443278"/>
    <w:rsid w:val="00443AB1"/>
    <w:rsid w:val="00467828"/>
    <w:rsid w:val="00471D05"/>
    <w:rsid w:val="00471F05"/>
    <w:rsid w:val="004849E4"/>
    <w:rsid w:val="004A75F9"/>
    <w:rsid w:val="0051387B"/>
    <w:rsid w:val="00515FB6"/>
    <w:rsid w:val="00563EE6"/>
    <w:rsid w:val="00574DD0"/>
    <w:rsid w:val="00582E47"/>
    <w:rsid w:val="005A3804"/>
    <w:rsid w:val="005A643E"/>
    <w:rsid w:val="005A68EB"/>
    <w:rsid w:val="005B04DF"/>
    <w:rsid w:val="005B6ECB"/>
    <w:rsid w:val="00623074"/>
    <w:rsid w:val="00641343"/>
    <w:rsid w:val="00650DBE"/>
    <w:rsid w:val="00655309"/>
    <w:rsid w:val="00656F91"/>
    <w:rsid w:val="0066665A"/>
    <w:rsid w:val="0067716E"/>
    <w:rsid w:val="006854BF"/>
    <w:rsid w:val="00692B4E"/>
    <w:rsid w:val="006955F4"/>
    <w:rsid w:val="006A6E35"/>
    <w:rsid w:val="006B506A"/>
    <w:rsid w:val="006D028C"/>
    <w:rsid w:val="006D77D2"/>
    <w:rsid w:val="006F04C9"/>
    <w:rsid w:val="00717FE4"/>
    <w:rsid w:val="00732C96"/>
    <w:rsid w:val="00734E38"/>
    <w:rsid w:val="00737DCA"/>
    <w:rsid w:val="00741F1C"/>
    <w:rsid w:val="00746F1D"/>
    <w:rsid w:val="007855B3"/>
    <w:rsid w:val="00791889"/>
    <w:rsid w:val="0079517F"/>
    <w:rsid w:val="007B480F"/>
    <w:rsid w:val="007B7220"/>
    <w:rsid w:val="007D0076"/>
    <w:rsid w:val="007D0FF3"/>
    <w:rsid w:val="007D134E"/>
    <w:rsid w:val="007D3037"/>
    <w:rsid w:val="007D7357"/>
    <w:rsid w:val="007E6BBF"/>
    <w:rsid w:val="007F2595"/>
    <w:rsid w:val="007F372E"/>
    <w:rsid w:val="008134E2"/>
    <w:rsid w:val="00813CE6"/>
    <w:rsid w:val="0082545C"/>
    <w:rsid w:val="0082764C"/>
    <w:rsid w:val="008314CA"/>
    <w:rsid w:val="00845BA2"/>
    <w:rsid w:val="00847821"/>
    <w:rsid w:val="00853E26"/>
    <w:rsid w:val="00860E1B"/>
    <w:rsid w:val="0086319B"/>
    <w:rsid w:val="008A151F"/>
    <w:rsid w:val="008A77DF"/>
    <w:rsid w:val="008B0E6C"/>
    <w:rsid w:val="008B1506"/>
    <w:rsid w:val="008B70F8"/>
    <w:rsid w:val="008D4695"/>
    <w:rsid w:val="00914E18"/>
    <w:rsid w:val="00915421"/>
    <w:rsid w:val="0092684B"/>
    <w:rsid w:val="009311F3"/>
    <w:rsid w:val="00937778"/>
    <w:rsid w:val="009570AD"/>
    <w:rsid w:val="0095735B"/>
    <w:rsid w:val="009771A4"/>
    <w:rsid w:val="00990CAD"/>
    <w:rsid w:val="00993E9B"/>
    <w:rsid w:val="009A5414"/>
    <w:rsid w:val="009C729C"/>
    <w:rsid w:val="00A03963"/>
    <w:rsid w:val="00A23173"/>
    <w:rsid w:val="00A40271"/>
    <w:rsid w:val="00A43466"/>
    <w:rsid w:val="00A504B0"/>
    <w:rsid w:val="00A6765A"/>
    <w:rsid w:val="00A727B4"/>
    <w:rsid w:val="00A85FE3"/>
    <w:rsid w:val="00AB1AA7"/>
    <w:rsid w:val="00AC04C4"/>
    <w:rsid w:val="00AC7669"/>
    <w:rsid w:val="00AD47F0"/>
    <w:rsid w:val="00AD7C44"/>
    <w:rsid w:val="00AE510F"/>
    <w:rsid w:val="00B11736"/>
    <w:rsid w:val="00B25ED1"/>
    <w:rsid w:val="00B26FC9"/>
    <w:rsid w:val="00B432C1"/>
    <w:rsid w:val="00B46944"/>
    <w:rsid w:val="00B5299E"/>
    <w:rsid w:val="00B52D45"/>
    <w:rsid w:val="00B57C2C"/>
    <w:rsid w:val="00B75FB9"/>
    <w:rsid w:val="00B81F1B"/>
    <w:rsid w:val="00BB0108"/>
    <w:rsid w:val="00BB5183"/>
    <w:rsid w:val="00BC0D74"/>
    <w:rsid w:val="00BD22DF"/>
    <w:rsid w:val="00BE07F8"/>
    <w:rsid w:val="00BE6359"/>
    <w:rsid w:val="00C11F67"/>
    <w:rsid w:val="00C21367"/>
    <w:rsid w:val="00C36C62"/>
    <w:rsid w:val="00C447A0"/>
    <w:rsid w:val="00C614EB"/>
    <w:rsid w:val="00C64875"/>
    <w:rsid w:val="00C70B0D"/>
    <w:rsid w:val="00C729DC"/>
    <w:rsid w:val="00C778EA"/>
    <w:rsid w:val="00C93632"/>
    <w:rsid w:val="00CA3370"/>
    <w:rsid w:val="00CE63B2"/>
    <w:rsid w:val="00CE7EAC"/>
    <w:rsid w:val="00CF1C8B"/>
    <w:rsid w:val="00D41446"/>
    <w:rsid w:val="00D4248B"/>
    <w:rsid w:val="00D61AB0"/>
    <w:rsid w:val="00D61CC4"/>
    <w:rsid w:val="00D76887"/>
    <w:rsid w:val="00D82BB3"/>
    <w:rsid w:val="00DB713A"/>
    <w:rsid w:val="00DD0F13"/>
    <w:rsid w:val="00DE69CF"/>
    <w:rsid w:val="00E02357"/>
    <w:rsid w:val="00E02FD4"/>
    <w:rsid w:val="00E31C49"/>
    <w:rsid w:val="00E33389"/>
    <w:rsid w:val="00E625BD"/>
    <w:rsid w:val="00E64234"/>
    <w:rsid w:val="00E96224"/>
    <w:rsid w:val="00EC2208"/>
    <w:rsid w:val="00EC2BE8"/>
    <w:rsid w:val="00EC7443"/>
    <w:rsid w:val="00EE1C2D"/>
    <w:rsid w:val="00EF5544"/>
    <w:rsid w:val="00F05646"/>
    <w:rsid w:val="00F076B6"/>
    <w:rsid w:val="00F36698"/>
    <w:rsid w:val="00F36C04"/>
    <w:rsid w:val="00F546F1"/>
    <w:rsid w:val="00F57B90"/>
    <w:rsid w:val="00FA5B43"/>
    <w:rsid w:val="00FD1F80"/>
    <w:rsid w:val="00FF0C68"/>
    <w:rsid w:val="00FF6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99"/>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99"/>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27997-1C03-4131-B1B9-FC4A4EA48EE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D32F5AED-8D42-45FD-B5F7-09943D470B4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1593</TotalTime>
  <Pages>3</Pages>
  <Words>1391</Words>
  <Characters>7929</Characters>
  <Application>Microsoft Office Word</Application>
  <DocSecurity>0</DocSecurity>
  <Lines>66</Lines>
  <Paragraphs>18</Paragraphs>
  <ScaleCrop>false</ScaleCrop>
  <Company>Qualcomm Incorporated</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194</cp:revision>
  <dcterms:created xsi:type="dcterms:W3CDTF">2024-03-28T10:16:00Z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